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2355B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Advances in Engineering and Technology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1F8A7E"/>
          <w:sz w:val="17"/>
        </w:rPr>
        <w:t xml:space="preserve">Guidance: </w:t>
      </w:r>
      <w:r>
        <w:rPr>
          <w:i/>
          <w:color w:val="1F8A7E"/>
          <w:sz w:val="17"/>
        </w:rPr>
        <w:t>Delete all guidance before submission. Replace text in [brackets]. Keep the headings.</w:t>
      </w:r>
    </w:p>
    <w:p>
      <w:r>
        <w:rPr>
          <w:b/>
          <w:color w:val="1F8A7E"/>
          <w:sz w:val="17"/>
        </w:rPr>
        <w:t>[ARTICLE TYPE]</w:t>
      </w:r>
    </w:p>
    <w:p>
      <w:r>
        <w:rPr>
          <w:rFonts w:ascii="Calibri" w:hAnsi="Calibri"/>
          <w:b/>
          <w:color w:val="12355B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12355B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12355B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12355B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12355B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12355B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12355B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1F8A7E"/>
          <w:sz w:val="17"/>
        </w:rPr>
        <w:t xml:space="preserve">Guidance: </w:t>
      </w:r>
      <w:r>
        <w:rPr>
          <w:i/>
          <w:color w:val="1F8A7E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Advances in Engineering and Technology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2355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2355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