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7A2E7A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Journal of Education and Learning Research</w:t>
            </w:r>
          </w:p>
          <w:p>
            <w:r>
              <w:rPr>
                <w:color w:val="D6E2EE"/>
                <w:sz w:val="17"/>
              </w:rPr>
              <w:t>Manuscript template · Origlots Publisher · APA 7 references</w:t>
            </w:r>
          </w:p>
        </w:tc>
      </w:tr>
    </w:tbl>
    <w:p/>
    <w:p>
      <w:r>
        <w:rPr>
          <w:b/>
          <w:color w:val="F2B33D"/>
          <w:sz w:val="17"/>
        </w:rPr>
        <w:t xml:space="preserve">Guidance: </w:t>
      </w:r>
      <w:r>
        <w:rPr>
          <w:i/>
          <w:color w:val="F2B33D"/>
          <w:sz w:val="17"/>
        </w:rPr>
        <w:t>Delete all guidance before submission. Replace text in [brackets]. Keep the headings.</w:t>
      </w:r>
    </w:p>
    <w:p>
      <w:r>
        <w:rPr>
          <w:b/>
          <w:color w:val="F2B33D"/>
          <w:sz w:val="17"/>
        </w:rPr>
        <w:t>[ARTICLE TYPE]</w:t>
      </w:r>
    </w:p>
    <w:p>
      <w:r>
        <w:rPr>
          <w:rFonts w:ascii="Calibri" w:hAnsi="Calibri"/>
          <w:b/>
          <w:color w:val="7A2E7A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p>
      <w:r>
        <w:rPr>
          <w:b/>
          <w:color w:val="F2B33D"/>
          <w:sz w:val="17"/>
        </w:rPr>
        <w:t xml:space="preserve">Guidance: </w:t>
      </w:r>
      <w:r>
        <w:rPr>
          <w:i/>
          <w:color w:val="F2B33D"/>
          <w:sz w:val="17"/>
        </w:rPr>
        <w:t>Double-blind review: remove names, affiliations and acknowledgements from this file; enter them in the online form.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7A2E7A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7A2E7A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as (Author, Year).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7A2E7A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7A2E7A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7A2E7A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7A2E7A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F2B33D"/>
          <w:sz w:val="17"/>
        </w:rPr>
        <w:t xml:space="preserve">Guidance: </w:t>
      </w:r>
      <w:r>
        <w:rPr>
          <w:i/>
          <w:color w:val="F2B33D"/>
          <w:sz w:val="17"/>
        </w:rPr>
        <w:t>APA 7: list alphabetically with a hanging indent, include DOIs.</w:t>
      </w:r>
    </w:p>
    <w:p>
      <w:pPr>
        <w:ind w:left="567" w:hanging="567"/>
      </w:pPr>
      <w:r>
        <w:t>Mettam, G. R., &amp; Adams, L. B. (2009). How to prepare an electronic version of your article. In B. S. Jones &amp; R. Z. Smith (Eds.), Introduction to the electronic age (pp. 281–304). E-Publishing Inc.</w:t>
      </w:r>
    </w:p>
    <w:p>
      <w:pPr>
        <w:ind w:left="567" w:hanging="567"/>
      </w:pPr>
      <w:r>
        <w:t>Nguyen, S., &amp; Brown, L. (2025). Early detection of crop stress from satellite images [Preprint]. bioRxiv. https://doi.org/10.1101/2025.01.01.000000</w:t>
      </w:r>
    </w:p>
    <w:p>
      <w:pPr>
        <w:ind w:left="567" w:hanging="567"/>
      </w:pPr>
      <w:r>
        <w:t>Oguro, M., Imahiro, S., Saito, S., &amp; Nakashizuka, T. (2015). Mortality data for Japanese oak wilt disease (Version 1) [Data set]. Mendeley Data. https://doi.org/10.17632/xwj98nb39r.1</w:t>
      </w:r>
    </w:p>
    <w:p>
      <w:pPr>
        <w:ind w:left="567" w:hanging="567"/>
      </w:pPr>
      <w:r>
        <w:t>Strunk, W., Jr., &amp; White, E. B. (2000). The elements of style (4th ed.). Longman.</w:t>
      </w:r>
    </w:p>
    <w:p>
      <w:pPr>
        <w:ind w:left="567" w:hanging="567"/>
      </w:pPr>
      <w:r>
        <w:t>Van der Geer, J., Hanraads, J. A. J., &amp; Lupton, R. A. (2010). The art of writing a scientific article. Journal of Scientific Communications, 163, 51–59. https://doi.org/10.1016/j.sc.2010.00372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Journal of Education and Learning Research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7A2E7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7A2E7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