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0F4C5C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Journal of Energy and Power Systems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F2B33D"/>
          <w:sz w:val="17"/>
        </w:rPr>
        <w:t xml:space="preserve">Guidance: </w:t>
      </w:r>
      <w:r>
        <w:rPr>
          <w:i/>
          <w:color w:val="F2B33D"/>
          <w:sz w:val="17"/>
        </w:rPr>
        <w:t>Delete all guidance before submission. Replace text in [brackets]. Keep the headings.</w:t>
      </w:r>
    </w:p>
    <w:p>
      <w:r>
        <w:rPr>
          <w:b/>
          <w:color w:val="F2B33D"/>
          <w:sz w:val="17"/>
        </w:rPr>
        <w:t>[ARTICLE TYPE]</w:t>
      </w:r>
    </w:p>
    <w:p>
      <w:r>
        <w:rPr>
          <w:rFonts w:ascii="Calibri" w:hAnsi="Calibri"/>
          <w:b/>
          <w:color w:val="0F4C5C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0F4C5C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0F4C5C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0F4C5C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0F4C5C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0F4C5C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0F4C5C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F2B33D"/>
          <w:sz w:val="17"/>
        </w:rPr>
        <w:t xml:space="preserve">Guidance: </w:t>
      </w:r>
      <w:r>
        <w:rPr>
          <w:i/>
          <w:color w:val="F2B33D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Journal of Energy and Power Systems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4C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4C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