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1D5FA8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Public Health and Epidemiology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7BC67E"/>
          <w:sz w:val="17"/>
        </w:rPr>
        <w:t xml:space="preserve">Guidance: </w:t>
      </w:r>
      <w:r>
        <w:rPr>
          <w:i/>
          <w:color w:val="7BC67E"/>
          <w:sz w:val="17"/>
        </w:rPr>
        <w:t>Delete all guidance before submission. Replace text in [brackets]. Keep the headings.</w:t>
      </w:r>
    </w:p>
    <w:p>
      <w:r>
        <w:rPr>
          <w:b/>
          <w:color w:val="7BC67E"/>
          <w:sz w:val="17"/>
        </w:rPr>
        <w:t>[ARTICLE TYPE]</w:t>
      </w:r>
    </w:p>
    <w:p>
      <w:r>
        <w:rPr>
          <w:rFonts w:ascii="Calibri" w:hAnsi="Calibri"/>
          <w:b/>
          <w:color w:val="1D5FA8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p>
      <w:r>
        <w:rPr>
          <w:b/>
          <w:color w:val="7BC67E"/>
          <w:sz w:val="17"/>
        </w:rPr>
        <w:t xml:space="preserve">Guidance: </w:t>
      </w:r>
      <w:r>
        <w:rPr>
          <w:i/>
          <w:color w:val="7BC67E"/>
          <w:sz w:val="17"/>
        </w:rPr>
        <w:t>Double-blind review: remove names, affiliations and acknowledgements from this file; enter them in the online form.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1D5FA8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1D5FA8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1D5FA8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1D5FA8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1D5FA8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1D5FA8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7BC67E"/>
          <w:sz w:val="17"/>
        </w:rPr>
        <w:t xml:space="preserve">Guidance: </w:t>
      </w:r>
      <w:r>
        <w:rPr>
          <w:i/>
          <w:color w:val="7BC67E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Public Health and Epidemiology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D5FA8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D5FA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